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E" w:rsidRPr="004F7AEE" w:rsidRDefault="004F7AEE" w:rsidP="004F7AEE">
      <w:pPr>
        <w:jc w:val="center"/>
        <w:rPr>
          <w:rFonts w:ascii="黑体" w:eastAsia="黑体" w:hAnsi="黑体" w:hint="eastAsia"/>
          <w:sz w:val="36"/>
          <w:szCs w:val="36"/>
        </w:rPr>
      </w:pPr>
      <w:r w:rsidRPr="004F7AEE">
        <w:rPr>
          <w:rFonts w:ascii="黑体" w:eastAsia="黑体" w:hAnsi="黑体" w:hint="eastAsia"/>
          <w:sz w:val="36"/>
          <w:szCs w:val="36"/>
        </w:rPr>
        <w:t>教育部关于加快建设高水平本科教育</w:t>
      </w:r>
    </w:p>
    <w:p w:rsidR="004F7AEE" w:rsidRPr="004F7AEE" w:rsidRDefault="004F7AEE" w:rsidP="004F7AEE">
      <w:pPr>
        <w:jc w:val="center"/>
        <w:rPr>
          <w:rFonts w:ascii="黑体" w:eastAsia="黑体" w:hAnsi="黑体" w:hint="eastAsia"/>
          <w:sz w:val="36"/>
          <w:szCs w:val="36"/>
        </w:rPr>
      </w:pPr>
      <w:r w:rsidRPr="004F7AEE">
        <w:rPr>
          <w:rFonts w:ascii="黑体" w:eastAsia="黑体" w:hAnsi="黑体" w:hint="eastAsia"/>
          <w:sz w:val="36"/>
          <w:szCs w:val="36"/>
        </w:rPr>
        <w:t>全面提高人才培养能力的意见</w:t>
      </w:r>
    </w:p>
    <w:p w:rsidR="004F7AEE" w:rsidRPr="004F7AEE" w:rsidRDefault="004F7AEE" w:rsidP="004F7AEE">
      <w:pPr>
        <w:jc w:val="center"/>
        <w:rPr>
          <w:rFonts w:ascii="仿宋_GB2312" w:eastAsia="仿宋_GB2312" w:hint="eastAsia"/>
          <w:sz w:val="30"/>
          <w:szCs w:val="30"/>
        </w:rPr>
      </w:pPr>
      <w:r w:rsidRPr="004F7AEE">
        <w:rPr>
          <w:rFonts w:ascii="仿宋_GB2312" w:eastAsia="仿宋_GB2312" w:hint="eastAsia"/>
          <w:sz w:val="30"/>
          <w:szCs w:val="30"/>
        </w:rPr>
        <w:t>教高〔2018〕2号</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各省、自治区、直辖市教育厅（教委），新疆生产建设兵团教育局，有关部门（单位）教育司（局），部属各高等学校、部省合建各高等学校：</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一、建设高水平本科教育的重要意义和形势要求</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人才培养是本，本科教育是根。建设高等教育强国必须坚持“以本为本”，加快建设高水平本科教育，培养</w:t>
      </w:r>
      <w:r w:rsidRPr="004F7AEE">
        <w:rPr>
          <w:rFonts w:ascii="仿宋_GB2312" w:eastAsia="仿宋_GB2312" w:hint="eastAsia"/>
          <w:sz w:val="30"/>
          <w:szCs w:val="30"/>
        </w:rPr>
        <w:lastRenderedPageBreak/>
        <w:t>大批有理想、有本领、有担当的高素质专门人才，为全面建成小康社会、基本实现社会主义现代化、建成社会主义现代化强国提供强大的人才支撑和智力支持。</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树人成效显著。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二、建设高水平本科教育的指导思想和目标原则</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指导思想。以习近平新时代中国特色社会主义思想为指导，全面贯彻落实党的十九大精神，全面贯彻党的教育方针，坚持教育为人民服务、为中国共产党治国理政服务、为巩固和发展中国特色社会主义制度服务、为改革开放和社会主义现代化建设服务，全面落实立德树人根本任务，准确把握高等教育基本规律和人才</w:t>
      </w:r>
      <w:r w:rsidRPr="004F7AEE">
        <w:rPr>
          <w:rFonts w:ascii="仿宋_GB2312" w:eastAsia="仿宋_GB2312" w:hint="eastAsia"/>
          <w:sz w:val="30"/>
          <w:szCs w:val="30"/>
        </w:rPr>
        <w:lastRenderedPageBreak/>
        <w:t>成长规律，以“回归常识、回归本分、回归初心、回归梦想”为基本遵循，激励学生刻苦读书学习，引导教师潜心教书育人，努力培养德智体美劳全面发展的社会主义建设者和接班人，为建设社会主义现代化强国和实现中华民族伟大复兴的中国梦提供强有力的人才保障。</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4.总体目标。经过5年的努力，“四个回归”全面落实，初步形成高水平的人才培养体系，建成一批立德树人标杆学校，建设一批一流本科专业点，引领带动高校专业建设水平和人才培养能力全面提升，学生学习成效和教师育人能力显著增强；协同育人机制更加健全，现代信息技术与教育教学深度融合，高等学校质量督导评估制度更加完善，大学质量文化建设取得显著成效。到2035年，形成中国特色、世界一流的高水平本科教育，为建设高等教育强国、加快实现教育现代化提供有力支撑。</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5.基本原则。</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坚持立德树人，德育为先。把立德树人内化到大学建设和管理各领域、各方面、各环节，坚持以文化人、以德育人，不断提高学生思想水平、政治觉悟、道德品质、文化素养，教育学生明大德、守公德、严私德。</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坚持学生中心，全面发展。以促进学生全面发展为中心，既注重“教得好”，更注重“学得好”，激发学生学习兴趣和潜能，激励学生爱国、励志、求真、力行，增强学生的社会责任感、创新精神和实践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lastRenderedPageBreak/>
        <w:t xml:space="preserve">　　——坚持服务需求，成效导向。主动对接经济社会发展需求，优化专业结构，完善课程体系，更新教学内容，改进教学方法，切实提高高校人才培养的目标达成度、社会适应度、条件保障度、质保有效度和结果满意度。</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坚持完善机制，持续改进。以创新人才培养机制为重点，形成招生、培养与就业联动机制，完善专业动态调整机制，健全协同育人机制，优化实践育人机制，强化质量评价保障机制，形成人才培养质量持续改进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——坚持分类指导，特色发展。推动高校分类发展，引导各类高校发挥办学优势，在不同领域各展所长，建设优势特色专业，提高创新型、复合型、应用型人才培养质量，形成全局性改革成果。</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三、把思想政治教育贯穿高水平本科教育全过程</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6.坚持正确办学方向。要全面加强高校党的建设，毫不动摇地坚持社会主义办学方向，办好高校马克思主义学院和思想政治理论课，加强面向全体学生的马克思主义理论教育，深化中国特色社会主义和中国梦宣传教育，大力推进习近平新时代中国特色社会主义思想进教材、进课堂、进头脑，不断增强学生的道路自信、理论自信、制度自信和文化自信。</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7.坚持德才兼修。把立德树人的成效作为检验学校一切工作的根本标准，加强理想信念教育，厚植爱国主义情怀，把社会主义核心价值观教育融入教育教学全过程各环节，全面落实到质量</w:t>
      </w:r>
      <w:r w:rsidRPr="004F7AEE">
        <w:rPr>
          <w:rFonts w:ascii="仿宋_GB2312" w:eastAsia="仿宋_GB2312" w:hint="eastAsia"/>
          <w:sz w:val="30"/>
          <w:szCs w:val="30"/>
        </w:rPr>
        <w:lastRenderedPageBreak/>
        <w:t>标准、课堂教学、实践活动和文化育人中，帮助学生正确认识历史规律、准确把握基本国情，掌握科学的世界观、方法论。深入开展道德教育和社会责任教育，引导学生养成良好的道德品质和行为习惯，崇德向善、诚实守信，热爱集体、关心社会。</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8.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9.强化课程思政和专业思政。在构建全员、全过程、全方位“三全育人”大格局过程中，着力推动高校全面加强课程思政建设，做好整体设计，根据不同专业人才培养特点和专业能力素质要求，科学合理设计思想政治教育内容。强化每一位教师的立德树人意识，在每一门课程中有机融入思想政治教育元素，推出一批育人效果显著的精品专业课程，打造一批课程思政示范课堂，选树一批课程思政优秀教师，形成专业课教学与思想政治理论课教学紧密结合、同向同行的育人格局。</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四、围绕激发学生学习兴趣和潜能深化教学改革</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10.改革教学管理制度。坚持从严治校，依法依规加强教学管理，规范本科教学秩序。推进辅修专业制度改革，探索将辅修专业制度纳入国家学籍学历管理体系，允许学生自主选择辅修专</w:t>
      </w:r>
      <w:r w:rsidRPr="004F7AEE">
        <w:rPr>
          <w:rFonts w:ascii="仿宋_GB2312" w:eastAsia="仿宋_GB2312" w:hint="eastAsia"/>
          <w:sz w:val="30"/>
          <w:szCs w:val="30"/>
        </w:rPr>
        <w:lastRenderedPageBreak/>
        <w:t>业。完善学分制，推动健全学分制收费管理制度，扩大学生学习自主权、选择权，鼓励学生跨学科、跨专业学习，允许学生自主选择专业和课程。鼓励学生通过参加社会实践、科学研究、创新创业、竞赛活动等获取学分。支持有条件的高校探索为优秀毕业生颁发荣誉学位，增强学生学习的荣誉感和主动性。</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11.推动课堂教学革命。以学生发展为中心，通过教学改革促进学习革命，积极推广小班化教学、混合式教学、翻转课堂，大力推进智慧教室建设，构建线上线下相结合的教学模式。因课制宜选择课堂教学方式方法，科学设计课程考核内容和方式，不断提高课堂教学质量。积极引导学生自我管理、主动学习， 激发求知欲望，提高学习效率，提升自主学习能力。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12.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控，提高毕业设计（论文）质量。综合应用笔试、口试、非标准答案考试等多种形式，全面考核学生对知识的掌握和运用，以考辅教、以考促学，激励学生主动学习、刻苦学习。</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13.强化管理服务育人。按照管理育人、服务育人的理念和要求，系统梳理、修订完善与在校大学生学习、生活等相关的各项管理制度，形成依法依规、宽严相济、科学管用的学生管理制</w:t>
      </w:r>
      <w:r w:rsidRPr="004F7AEE">
        <w:rPr>
          <w:rFonts w:ascii="仿宋_GB2312" w:eastAsia="仿宋_GB2312" w:hint="eastAsia"/>
          <w:sz w:val="30"/>
          <w:szCs w:val="30"/>
        </w:rPr>
        <w:lastRenderedPageBreak/>
        <w:t>度体系。探索建立大学生诚信制度，推动与国家诚信体系建设相衔接。探索建立反映大学生全面发展、个性发展的国家学生信息管理服务平台，为大学生升学、就业、创业提供权威、丰富的学生发展信息服务。高度重视并加强毕业生就业工作，提升就业指导服务水平，定期发布高校就业质量年度报告，建立就业与招生、人才培养联动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14.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强化创新创业实践，搭建大学生创新创业与社会需求对接平台。加强创新创业示范高校建设，强化创新创业导师培训，发挥“互联网+”大赛引领推动作用，提升创新创业教育水平。鼓励符合条件的学生参加职业资格考试，支持学生在完成学业的同时，获取多种资格和能力证书，增强创业就业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15.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w:t>
      </w:r>
      <w:r w:rsidRPr="004F7AEE">
        <w:rPr>
          <w:rFonts w:ascii="仿宋_GB2312" w:eastAsia="仿宋_GB2312" w:hint="eastAsia"/>
          <w:sz w:val="30"/>
          <w:szCs w:val="30"/>
        </w:rPr>
        <w:lastRenderedPageBreak/>
        <w:t>生产劳动、志愿服务、科技发明、勤工助学等社会实践活动，增强学生表达沟通、团队合作、组织协调、实践操作、敢闯会创的能力。</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五、全面提高教师教书育人能力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16.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17.提升教学能力。加强高校教师教学发展中心建设，全面开展教师教学能力提升培训。深入实施中西部高校新入职教师国培项目和青年骨干教师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因校制宜，建立健全多种形式的基层教学组织，广泛开展教育教学研究活动，提高教师现代信息技术与教育教学深度融合的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18.充分发挥教材育人功能。推进马工程重点教材统一编写、统一审查、统一使用，健全编写修订机制。鼓励和支持专业造诣高、教学经验丰富的专家学者参与教材编写，提高教材编写质量。加强教材研究，创新教材呈现方式和话语体系，实现理论体系向</w:t>
      </w:r>
      <w:r w:rsidRPr="004F7AEE">
        <w:rPr>
          <w:rFonts w:ascii="仿宋_GB2312" w:eastAsia="仿宋_GB2312" w:hint="eastAsia"/>
          <w:sz w:val="30"/>
          <w:szCs w:val="30"/>
        </w:rPr>
        <w:lastRenderedPageBreak/>
        <w:t>教材体系转化、教材体系向教学体系转化、教学体系向学生的知识体系和价值体系转化，使教材更加体现科学性、前沿性，进一步增强教材针对性和实效性。</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19.改革评价体系。深化高校教师考核评价制度改革，坚持分类指导与分层次评价相结合，根据不同类型高校、不同岗位教师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加大对教学业绩突出教师的奖励力度，在专业技术职务评聘、绩效考核和津贴分配中把教学质量和科研水平作为同等重要的依据，对主要从事教学工作人员，提高基础性绩效工资额度，保证合理的工资水平。</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六、大力推进一流专业建设</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20.实施一流专业建设“双万计划”。专业是人才培养的基本单元，是建设高水平本科教育、培养一流人才的“四梁八柱”。以建设面向未来、适应需求、引领发展、理念先进、保障有力的一流专业为目标，建设1万个国家级一流专业点和1万个省级一流专业点，引领支撑高水平本科教育。“双一流”高校要率先建成一流专业，应用型本科高校要结合办学特色努力建设一流专业。</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21.提高专业建设质量。适应新时代对人才的多样化需求，推动高校及时调整专业人才培养方案，定期更新教学大纲，适时修订专业教材，科学构建课程体系。适应高考综合改革需求，进</w:t>
      </w:r>
      <w:r w:rsidRPr="004F7AEE">
        <w:rPr>
          <w:rFonts w:ascii="仿宋_GB2312" w:eastAsia="仿宋_GB2312" w:hint="eastAsia"/>
          <w:sz w:val="30"/>
          <w:szCs w:val="30"/>
        </w:rPr>
        <w:lastRenderedPageBreak/>
        <w:t>一步完善招生选拔机制，推动招生与人才培养的有效衔接。推动高校建立专业办学条件主动公开制度，加强专业质量建设，提高学生和社会的满意度。</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22.动态调整专业结构。深化高校本科专业供给侧改革，建立健全专业动态调整机制，做好存量升级、增量优化、余量消减。主动布局集成电路、人工智能、云计算、大数据、网络空间安全、养老护理、儿科等战略性新兴产业发展和民生急需相关学科专业。推动各地、各行业、各部门完善人才需求预测预警机制，推动高校形成就业与招生计划、人才培养的联动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23.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七、推进现代信息技术与教育教学深度融合</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24.重塑教育教学形态。加快形成多元协同、内容丰富、应用广泛、服务及时的高等教育云服务体系，打造适应学生自主学习、自主管理、自主服务需求的智慧课堂、智慧实验室、智慧校园。大力推动互联网、大数据、人工智能、虚拟现实等现代技术在教学和管理中的应用，探索实施网络化、数字化、智能化、个性化的教育，推动形成“互联网+高等教育”新形态，以现代信息</w:t>
      </w:r>
      <w:r w:rsidRPr="004F7AEE">
        <w:rPr>
          <w:rFonts w:ascii="仿宋_GB2312" w:eastAsia="仿宋_GB2312" w:hint="eastAsia"/>
          <w:sz w:val="30"/>
          <w:szCs w:val="30"/>
        </w:rPr>
        <w:lastRenderedPageBreak/>
        <w:t>技术推动高等教育质量提升的“变轨超车”。</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25.大力推进慕课和虚拟仿真实验建设。发挥慕课在提高质量、促进公平方面的重大作用，制定慕课标准体系，规范慕课建设管理，规划建设一批高质量慕课，推出3000门国家精品在线开放课程，示范带动课程建设水平的整体提升。建设1000项左右国家虚拟仿真实验教学项目，提高实验教学质量和水平。</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26.共享优质教育资源。大力加强慕课在中西部高校的推广使用，加快提升中西部高校教学水平。建立慕课学分认定制度。以1万门国家级和1万门省级一流线上线下精品课程建设为牵引，推动优质课程资源开放共享，促进慕课等优质资源平台发展，鼓励教师多模式应用，鼓励学生多形式学习，提升公共服务水平，推动形成支持学习者人人皆学、处处能学、时时可学的泛在化学习新环境。</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八、构建全方位全过程深融合的协同育人新机制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27.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lastRenderedPageBreak/>
        <w:t xml:space="preserve">　　28.加强实践育人平台建设。综合运用校内外资源，建设满足实践教学需要的实验实习实训平台。加强校内实验教学资源建设，构建功能集约、资源共享、开放充分、运作高效的实验教学平台。建设学生实习岗位需求对接网络平台，征集、发布企业和学生实习需求信息，为学生实习实践提供服务。进一步提高实践教学的比重，大力推动与行业部门、企业共同建设实践教育基地，切实加强实习过程管理，健全合作共赢、开放共享的实践育人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29.强化科教协同育人。结合重大、重点科技计划任务，建立科教融合、相互促进的协同培养机制。推动国家级、省部级科研基地向本科生开放，为本科生参与科研创造条件，推动学生早进课题、早进实验室、早进团队，将最新科研成果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30.深化国际合作育人。主动服务国家对外开放战略，积极融入“一带一路”建设，推进与国外高水平大学开展联合培养，支持中外高校学生互换、学分互认、学位互授联授，推荐优秀学生到国际组织任职、实习，选拔高校青年教师学术带头人赴国外高水平机构访学交流，加快引进国外优质教育资源，培养具有宽广国际视野的新时代人才。</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lastRenderedPageBreak/>
        <w:t xml:space="preserve">　　31.深化协同育人重点领域改革。推进校企深度融合，加快发展“新工科”，探索以推动创新与产业发展为导向的工程教育新模式。促进医教协同，推进院校教育和毕业后教育紧密衔接，共建医学院和附属医院。深化农科教结合，协同推进学校与地方、院所、企业育人资源互动共享，建设农科教合作人才培养基地。深入推进法学教育和司法实践紧密结合，实施高校与法治实务部门交流“万人计划”。适应媒体深度融合和行业创新发展，深化宣传部门与高校共建新闻学院。完善高校与地方政府、中小学“三位一体”协同育人机制，创建国家教师教育创新实验区。深化科教结合，加强高校与各类科研院所协作，提高基础学科拔尖人才培养能力。</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九、加强大学质量文化建设</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32.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33.强化高校质量保障主体意识。完善高校自我评估制度，健全内部质量保障体系。要按照《普通高等学校本科专业类教学质量国家标准》及有关行业标准，根据学校自身办学实际和发展</w:t>
      </w:r>
      <w:r w:rsidRPr="004F7AEE">
        <w:rPr>
          <w:rFonts w:ascii="仿宋_GB2312" w:eastAsia="仿宋_GB2312" w:hint="eastAsia"/>
          <w:sz w:val="30"/>
          <w:szCs w:val="30"/>
        </w:rPr>
        <w:lastRenderedPageBreak/>
        <w:t>目标，构建教育基本标准，确立人才培养要求，并对照要求建立本科教学自我评估制度。要将评估结果作为校务公开的重要内容向社会公开。</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34.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全领域的质量监测网络体系。规范本科教学工作审核评估和合格评估，开展本科专业评估。推进高等学校本科专业认证工作，开展保合格、上水平、追卓越的三级专业认证。针对突出质量问题开展专项督导检查。强化评估认证结果的应用，建立评估认证结果公示和约谈、整改复查机制。</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35.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支持社会专业评估机构开展高等教育质量评估。</w:t>
      </w:r>
    </w:p>
    <w:p w:rsidR="004F7AEE" w:rsidRPr="004F7AEE" w:rsidRDefault="004F7AEE" w:rsidP="004F7AEE">
      <w:pPr>
        <w:rPr>
          <w:rFonts w:ascii="黑体" w:eastAsia="黑体" w:hAnsi="黑体" w:hint="eastAsia"/>
          <w:sz w:val="30"/>
          <w:szCs w:val="30"/>
        </w:rPr>
      </w:pPr>
      <w:r w:rsidRPr="004F7AEE">
        <w:rPr>
          <w:rFonts w:ascii="黑体" w:eastAsia="黑体" w:hAnsi="黑体" w:hint="eastAsia"/>
          <w:sz w:val="30"/>
          <w:szCs w:val="30"/>
        </w:rPr>
        <w:t>十、切实做好高水平本科教育建设工作的组织实施</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36.加强组织领导。地方各级教育行政部门、各高校要把建设高水平本科教育作为全面贯彻习近平新时代中国特色社会主</w:t>
      </w:r>
      <w:r w:rsidRPr="004F7AEE">
        <w:rPr>
          <w:rFonts w:ascii="仿宋_GB2312" w:eastAsia="仿宋_GB2312" w:hint="eastAsia"/>
          <w:sz w:val="30"/>
          <w:szCs w:val="30"/>
        </w:rPr>
        <w:lastRenderedPageBreak/>
        <w:t>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37.强化高校主体责任。各高校要把建设高水平本科教育作为新时代学校建设改革发展的重点任务，结合本校实际，制定实施方案，明确建设目标、重点内容和保障措施。高校党委会、常委会和校长办公会要定期研究，书记校长及分管负责人要经常性研究本科教育工作，相关部门和院系负责人要切实担起责任，具体负责组织实施，确保达到预期成效。</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38.加强地方统筹。各地教育行政部门要结合实际，科学制定本地区高水平本科教育建设的总体规划和政策措施，并做好与教育规划和改革任务的有效衔接，健全领导体制、决策机制和评估机制，科学配置公共资源，指导和督促高校将建设目标、任务、政策、举措落到实处。</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39.强化支持保障。教育部会同有关部门围绕高水平本科教育建设，加大政策支持力度，制定实施“六卓越一拔尖”计划2.0等重大项目。各地教育主管部门要加强政策协调配套，统筹地方财政高等教育资金和中央支持地方高校改革发展资金，引导支持地方高校推进高水平本科教育建设。各高校要根据自身建设计划，</w:t>
      </w:r>
      <w:r w:rsidRPr="004F7AEE">
        <w:rPr>
          <w:rFonts w:ascii="仿宋_GB2312" w:eastAsia="仿宋_GB2312" w:hint="eastAsia"/>
          <w:sz w:val="30"/>
          <w:szCs w:val="30"/>
        </w:rPr>
        <w:lastRenderedPageBreak/>
        <w:t>加大与国家和地方政策的衔接、配套和执行力度，加大对本科教育的投入力度。中央部门所属高校要统筹利用中央高校教育教学改革专项等中央高校预算拨款和其他各类资源，结合学校实际，支持高水平本科教育建设。</w:t>
      </w:r>
    </w:p>
    <w:p w:rsidR="004F7AEE" w:rsidRPr="004F7AEE" w:rsidRDefault="004F7AEE" w:rsidP="004F7AEE">
      <w:pPr>
        <w:rPr>
          <w:rFonts w:ascii="仿宋_GB2312" w:eastAsia="仿宋_GB2312" w:hint="eastAsia"/>
          <w:sz w:val="30"/>
          <w:szCs w:val="30"/>
        </w:rPr>
      </w:pPr>
      <w:r w:rsidRPr="004F7AEE">
        <w:rPr>
          <w:rFonts w:ascii="仿宋_GB2312" w:eastAsia="仿宋_GB2312" w:hint="eastAsia"/>
          <w:sz w:val="30"/>
          <w:szCs w:val="30"/>
        </w:rPr>
        <w:t xml:space="preserve">　　40.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rsidR="004F7AEE" w:rsidRPr="004F7AEE" w:rsidRDefault="004F7AEE" w:rsidP="004F7AEE">
      <w:pPr>
        <w:rPr>
          <w:rFonts w:ascii="仿宋_GB2312" w:eastAsia="仿宋_GB2312" w:hint="eastAsia"/>
          <w:sz w:val="30"/>
          <w:szCs w:val="30"/>
        </w:rPr>
      </w:pPr>
    </w:p>
    <w:p w:rsidR="004F7AEE" w:rsidRPr="004F7AEE" w:rsidRDefault="004F7AEE" w:rsidP="004F7AEE">
      <w:pPr>
        <w:jc w:val="center"/>
        <w:rPr>
          <w:rFonts w:ascii="仿宋_GB2312" w:eastAsia="仿宋_GB2312" w:hint="eastAsia"/>
          <w:sz w:val="30"/>
          <w:szCs w:val="30"/>
        </w:rPr>
      </w:pPr>
      <w:r w:rsidRPr="004F7AEE">
        <w:rPr>
          <w:rFonts w:ascii="仿宋_GB2312" w:eastAsia="仿宋_GB2312" w:hint="eastAsia"/>
          <w:sz w:val="30"/>
          <w:szCs w:val="30"/>
        </w:rPr>
        <w:t>教育部</w:t>
      </w:r>
    </w:p>
    <w:p w:rsidR="00512BD4" w:rsidRPr="004F7AEE" w:rsidRDefault="004F7AEE" w:rsidP="004F7AEE">
      <w:pPr>
        <w:jc w:val="center"/>
        <w:rPr>
          <w:rFonts w:ascii="仿宋_GB2312" w:eastAsia="仿宋_GB2312" w:hint="eastAsia"/>
          <w:sz w:val="30"/>
          <w:szCs w:val="30"/>
        </w:rPr>
      </w:pPr>
      <w:bookmarkStart w:id="0" w:name="_GoBack"/>
      <w:bookmarkEnd w:id="0"/>
      <w:r w:rsidRPr="004F7AEE">
        <w:rPr>
          <w:rFonts w:ascii="仿宋_GB2312" w:eastAsia="仿宋_GB2312" w:hint="eastAsia"/>
          <w:sz w:val="30"/>
          <w:szCs w:val="30"/>
        </w:rPr>
        <w:t>2018年9月17日</w:t>
      </w:r>
    </w:p>
    <w:sectPr w:rsidR="00512BD4" w:rsidRPr="004F7AE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016" w:rsidRDefault="00540016" w:rsidP="004F7AEE">
      <w:r>
        <w:separator/>
      </w:r>
    </w:p>
  </w:endnote>
  <w:endnote w:type="continuationSeparator" w:id="0">
    <w:p w:rsidR="00540016" w:rsidRDefault="00540016" w:rsidP="004F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615042"/>
      <w:docPartObj>
        <w:docPartGallery w:val="Page Numbers (Bottom of Page)"/>
        <w:docPartUnique/>
      </w:docPartObj>
    </w:sdtPr>
    <w:sdtContent>
      <w:p w:rsidR="004F7AEE" w:rsidRDefault="004F7AEE">
        <w:pPr>
          <w:pStyle w:val="a5"/>
          <w:jc w:val="center"/>
        </w:pPr>
        <w:r>
          <w:fldChar w:fldCharType="begin"/>
        </w:r>
        <w:r>
          <w:instrText>PAGE   \* MERGEFORMAT</w:instrText>
        </w:r>
        <w:r>
          <w:fldChar w:fldCharType="separate"/>
        </w:r>
        <w:r w:rsidRPr="004F7AEE">
          <w:rPr>
            <w:noProof/>
            <w:lang w:val="zh-CN"/>
          </w:rPr>
          <w:t>16</w:t>
        </w:r>
        <w:r>
          <w:fldChar w:fldCharType="end"/>
        </w:r>
      </w:p>
    </w:sdtContent>
  </w:sdt>
  <w:p w:rsidR="004F7AEE" w:rsidRDefault="004F7A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016" w:rsidRDefault="00540016" w:rsidP="004F7AEE">
      <w:r>
        <w:separator/>
      </w:r>
    </w:p>
  </w:footnote>
  <w:footnote w:type="continuationSeparator" w:id="0">
    <w:p w:rsidR="00540016" w:rsidRDefault="00540016" w:rsidP="004F7A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E"/>
    <w:rsid w:val="004F7AEE"/>
    <w:rsid w:val="00540016"/>
    <w:rsid w:val="0079595B"/>
    <w:rsid w:val="008A4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B6FB"/>
  <w15:chartTrackingRefBased/>
  <w15:docId w15:val="{BE7F8D5A-EF6D-476D-A646-57A0D1EF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7A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F7AEE"/>
    <w:rPr>
      <w:sz w:val="18"/>
      <w:szCs w:val="18"/>
    </w:rPr>
  </w:style>
  <w:style w:type="paragraph" w:styleId="a5">
    <w:name w:val="footer"/>
    <w:basedOn w:val="a"/>
    <w:link w:val="a6"/>
    <w:uiPriority w:val="99"/>
    <w:unhideWhenUsed/>
    <w:rsid w:val="004F7AEE"/>
    <w:pPr>
      <w:tabs>
        <w:tab w:val="center" w:pos="4153"/>
        <w:tab w:val="right" w:pos="8306"/>
      </w:tabs>
      <w:snapToGrid w:val="0"/>
      <w:jc w:val="left"/>
    </w:pPr>
    <w:rPr>
      <w:sz w:val="18"/>
      <w:szCs w:val="18"/>
    </w:rPr>
  </w:style>
  <w:style w:type="character" w:customStyle="1" w:styleId="a6">
    <w:name w:val="页脚 字符"/>
    <w:basedOn w:val="a0"/>
    <w:link w:val="a5"/>
    <w:uiPriority w:val="99"/>
    <w:rsid w:val="004F7A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2024-06-07T04:31:00Z</dcterms:created>
  <dcterms:modified xsi:type="dcterms:W3CDTF">2024-06-07T04:34:00Z</dcterms:modified>
</cp:coreProperties>
</file>