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center"/>
        <w:textAlignment w:val="auto"/>
        <w:rPr>
          <w:rStyle w:val="7"/>
          <w:rFonts w:hint="eastAsia" w:ascii="微软雅黑" w:hAnsi="微软雅黑" w:eastAsia="微软雅黑" w:cs="微软雅黑"/>
          <w:i w:val="0"/>
          <w:iCs w:val="0"/>
          <w:caps w:val="0"/>
          <w:color w:val="333333"/>
          <w:spacing w:val="0"/>
          <w:sz w:val="36"/>
          <w:szCs w:val="36"/>
          <w:bdr w:val="none" w:color="auto" w:sz="0" w:space="0"/>
          <w:shd w:val="clear" w:fill="FFFFFF"/>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jc w:val="center"/>
        <w:textAlignment w:val="auto"/>
        <w:rPr>
          <w:rFonts w:hint="eastAsia" w:ascii="方正小标宋简体" w:hAnsi="方正小标宋简体" w:eastAsia="方正小标宋简体" w:cs="方正小标宋简体"/>
          <w:b/>
          <w:bCs/>
          <w:color w:val="333333"/>
          <w:sz w:val="36"/>
          <w:szCs w:val="36"/>
        </w:rPr>
      </w:pPr>
      <w:r>
        <w:rPr>
          <w:rFonts w:hint="eastAsia" w:ascii="方正小标宋简体" w:hAnsi="方正小标宋简体" w:eastAsia="方正小标宋简体" w:cs="方正小标宋简体"/>
          <w:b/>
          <w:bCs/>
          <w:i w:val="0"/>
          <w:iCs w:val="0"/>
          <w:caps w:val="0"/>
          <w:color w:val="333333"/>
          <w:spacing w:val="0"/>
          <w:sz w:val="36"/>
          <w:szCs w:val="36"/>
          <w:bdr w:val="none" w:color="auto" w:sz="0" w:space="0"/>
          <w:shd w:val="clear" w:fill="FFFFFF"/>
        </w:rPr>
        <w:t>中国共产党问责条例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jc w:val="center"/>
        <w:textAlignment w:val="auto"/>
        <w:rPr>
          <w:b w:val="0"/>
          <w:bCs w:val="0"/>
          <w:color w:val="333333"/>
          <w:sz w:val="28"/>
          <w:szCs w:val="28"/>
        </w:rPr>
      </w:pPr>
      <w:r>
        <w:rPr>
          <w:b w:val="0"/>
          <w:bCs w:val="0"/>
          <w:i w:val="0"/>
          <w:iCs w:val="0"/>
          <w:caps w:val="0"/>
          <w:color w:val="333333"/>
          <w:spacing w:val="0"/>
          <w:sz w:val="28"/>
          <w:szCs w:val="28"/>
          <w:bdr w:val="none" w:color="auto" w:sz="0" w:space="0"/>
          <w:shd w:val="clear" w:fill="FFFFFF"/>
        </w:rPr>
        <w:t>（2019年修订，自2019年9月1日起施行）</w:t>
      </w:r>
    </w:p>
    <w:p>
      <w:pPr>
        <w:keepNext w:val="0"/>
        <w:keepLines w:val="0"/>
        <w:pageBreakBefore w:val="0"/>
        <w:widowControl/>
        <w:suppressLineNumbers w:val="0"/>
        <w:pBdr>
          <w:top w:val="none" w:color="auto" w:sz="0" w:space="0"/>
          <w:left w:val="none" w:color="auto" w:sz="0" w:space="0"/>
          <w:bottom w:val="single" w:color="E7D6C3" w:sz="6"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center"/>
        <w:textAlignment w:val="auto"/>
        <w:rPr>
          <w:rFonts w:hint="default" w:ascii="微软雅黑" w:hAnsi="微软雅黑" w:eastAsia="微软雅黑" w:cs="微软雅黑"/>
          <w:i w:val="0"/>
          <w:iCs w:val="0"/>
          <w:caps w:val="0"/>
          <w:color w:val="333333"/>
          <w:spacing w:val="0"/>
          <w:sz w:val="24"/>
          <w:szCs w:val="24"/>
          <w:lang w:val="en-US"/>
        </w:rPr>
      </w:pPr>
      <w:r>
        <w:rPr>
          <w:rFonts w:hint="eastAsia" w:ascii="微软雅黑" w:hAnsi="微软雅黑" w:eastAsia="微软雅黑" w:cs="微软雅黑"/>
          <w:i w:val="0"/>
          <w:iCs w:val="0"/>
          <w:caps w:val="0"/>
          <w:color w:val="000000"/>
          <w:spacing w:val="0"/>
          <w:kern w:val="0"/>
          <w:sz w:val="24"/>
          <w:szCs w:val="24"/>
          <w:u w:val="none"/>
          <w:bdr w:val="none" w:color="auto" w:sz="0" w:space="0"/>
          <w:shd w:val="clear" w:fill="FFFFFF"/>
          <w:lang w:val="en-US" w:eastAsia="zh-CN" w:bidi="ar"/>
        </w:rPr>
        <w:t>来源：</w:t>
      </w:r>
      <w:r>
        <w:rPr>
          <w:rFonts w:hint="eastAsia" w:ascii="微软雅黑" w:hAnsi="微软雅黑" w:eastAsia="微软雅黑" w:cs="微软雅黑"/>
          <w:i w:val="0"/>
          <w:iCs w:val="0"/>
          <w:caps w:val="0"/>
          <w:color w:val="000000"/>
          <w:spacing w:val="0"/>
          <w:kern w:val="0"/>
          <w:sz w:val="24"/>
          <w:szCs w:val="24"/>
          <w:u w:val="none"/>
          <w:bdr w:val="none" w:color="auto" w:sz="0" w:space="0"/>
          <w:shd w:val="clear" w:fill="FFFFFF"/>
          <w:lang w:val="en-US" w:eastAsia="zh-CN" w:bidi="ar"/>
        </w:rPr>
        <w:fldChar w:fldCharType="begin"/>
      </w:r>
      <w:r>
        <w:rPr>
          <w:rFonts w:hint="eastAsia" w:ascii="微软雅黑" w:hAnsi="微软雅黑" w:eastAsia="微软雅黑" w:cs="微软雅黑"/>
          <w:i w:val="0"/>
          <w:iCs w:val="0"/>
          <w:caps w:val="0"/>
          <w:color w:val="000000"/>
          <w:spacing w:val="0"/>
          <w:kern w:val="0"/>
          <w:sz w:val="24"/>
          <w:szCs w:val="24"/>
          <w:u w:val="none"/>
          <w:bdr w:val="none" w:color="auto" w:sz="0" w:space="0"/>
          <w:shd w:val="clear" w:fill="FFFFFF"/>
          <w:lang w:val="en-US" w:eastAsia="zh-CN" w:bidi="ar"/>
        </w:rPr>
        <w:instrText xml:space="preserve"> HYPERLINK "https://www.12371.cn/" \t "https://www.12371.cn/2019/09/04/_blank" </w:instrText>
      </w:r>
      <w:r>
        <w:rPr>
          <w:rFonts w:hint="eastAsia" w:ascii="微软雅黑" w:hAnsi="微软雅黑" w:eastAsia="微软雅黑" w:cs="微软雅黑"/>
          <w:i w:val="0"/>
          <w:iCs w:val="0"/>
          <w:caps w:val="0"/>
          <w:color w:val="000000"/>
          <w:spacing w:val="0"/>
          <w:kern w:val="0"/>
          <w:sz w:val="24"/>
          <w:szCs w:val="24"/>
          <w:u w:val="none"/>
          <w:bdr w:val="none" w:color="auto" w:sz="0" w:space="0"/>
          <w:shd w:val="clear" w:fill="FFFFFF"/>
          <w:lang w:val="en-US" w:eastAsia="zh-CN" w:bidi="ar"/>
        </w:rPr>
        <w:fldChar w:fldCharType="separate"/>
      </w:r>
      <w:r>
        <w:rPr>
          <w:rStyle w:val="8"/>
          <w:rFonts w:hint="eastAsia" w:ascii="微软雅黑" w:hAnsi="微软雅黑" w:eastAsia="微软雅黑" w:cs="微软雅黑"/>
          <w:i w:val="0"/>
          <w:iCs w:val="0"/>
          <w:caps w:val="0"/>
          <w:color w:val="000000"/>
          <w:spacing w:val="0"/>
          <w:sz w:val="24"/>
          <w:szCs w:val="24"/>
          <w:u w:val="none"/>
          <w:bdr w:val="none" w:color="auto" w:sz="0" w:space="0"/>
          <w:shd w:val="clear" w:fill="FFFFFF"/>
        </w:rPr>
        <w:t>共产党员网</w:t>
      </w:r>
      <w:r>
        <w:rPr>
          <w:rFonts w:hint="eastAsia" w:ascii="微软雅黑" w:hAnsi="微软雅黑" w:eastAsia="微软雅黑" w:cs="微软雅黑"/>
          <w:i w:val="0"/>
          <w:iCs w:val="0"/>
          <w:caps w:val="0"/>
          <w:color w:val="000000"/>
          <w:spacing w:val="0"/>
          <w:kern w:val="0"/>
          <w:sz w:val="24"/>
          <w:szCs w:val="24"/>
          <w:u w:val="none"/>
          <w:bdr w:val="none" w:color="auto" w:sz="0" w:space="0"/>
          <w:shd w:val="clear" w:fill="FFFFFF"/>
          <w:lang w:val="en-US" w:eastAsia="zh-CN" w:bidi="ar"/>
        </w:rPr>
        <w:fldChar w:fldCharType="end"/>
      </w:r>
      <w:r>
        <w:rPr>
          <w:rFonts w:hint="eastAsia" w:ascii="微软雅黑" w:hAnsi="微软雅黑" w:eastAsia="微软雅黑" w:cs="微软雅黑"/>
          <w:i w:val="0"/>
          <w:iCs w:val="0"/>
          <w:caps w:val="0"/>
          <w:color w:val="000000"/>
          <w:spacing w:val="0"/>
          <w:kern w:val="0"/>
          <w:sz w:val="24"/>
          <w:szCs w:val="24"/>
          <w:u w:val="none"/>
          <w:bdr w:val="none" w:color="auto" w:sz="0" w:space="0"/>
          <w:shd w:val="clear" w:fill="FFFFFF"/>
          <w:lang w:val="en-US" w:eastAsia="zh-CN" w:bidi="ar"/>
        </w:rPr>
        <w:t xml:space="preserve">    2019年9月4日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after="0" w:afterAutospacing="0"/>
        <w:ind w:left="0" w:righ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000000"/>
          <w:spacing w:val="0"/>
          <w:kern w:val="0"/>
          <w:sz w:val="18"/>
          <w:szCs w:val="18"/>
          <w:u w:val="none"/>
          <w:bdr w:val="none" w:color="auto" w:sz="0" w:space="0"/>
          <w:shd w:val="clear" w:fill="FFFFFF"/>
          <w:lang w:val="en-US" w:eastAsia="zh-CN" w:bidi="ar"/>
        </w:rPr>
        <w:fldChar w:fldCharType="begin"/>
      </w:r>
      <w:r>
        <w:rPr>
          <w:rFonts w:hint="eastAsia" w:ascii="微软雅黑" w:hAnsi="微软雅黑" w:eastAsia="微软雅黑" w:cs="微软雅黑"/>
          <w:i w:val="0"/>
          <w:iCs w:val="0"/>
          <w:caps w:val="0"/>
          <w:color w:val="000000"/>
          <w:spacing w:val="0"/>
          <w:kern w:val="0"/>
          <w:sz w:val="18"/>
          <w:szCs w:val="18"/>
          <w:u w:val="none"/>
          <w:bdr w:val="none" w:color="auto" w:sz="0" w:space="0"/>
          <w:shd w:val="clear" w:fill="FFFFFF"/>
          <w:lang w:val="en-US" w:eastAsia="zh-CN" w:bidi="ar"/>
        </w:rPr>
        <w:instrText xml:space="preserve"> HYPERLINK "https://www.12371.cn/2019/09/04/ARTI1567593093489593.shtml" </w:instrText>
      </w:r>
      <w:r>
        <w:rPr>
          <w:rFonts w:hint="eastAsia" w:ascii="微软雅黑" w:hAnsi="微软雅黑" w:eastAsia="微软雅黑" w:cs="微软雅黑"/>
          <w:i w:val="0"/>
          <w:iCs w:val="0"/>
          <w:caps w:val="0"/>
          <w:color w:val="000000"/>
          <w:spacing w:val="0"/>
          <w:kern w:val="0"/>
          <w:sz w:val="18"/>
          <w:szCs w:val="18"/>
          <w:u w:val="none"/>
          <w:bdr w:val="none" w:color="auto" w:sz="0" w:space="0"/>
          <w:shd w:val="clear" w:fill="FFFFFF"/>
          <w:lang w:val="en-US" w:eastAsia="zh-CN" w:bidi="ar"/>
        </w:rPr>
        <w:fldChar w:fldCharType="separate"/>
      </w:r>
      <w:r>
        <w:rPr>
          <w:rFonts w:hint="eastAsia" w:ascii="微软雅黑" w:hAnsi="微软雅黑" w:eastAsia="微软雅黑" w:cs="微软雅黑"/>
          <w:i w:val="0"/>
          <w:iCs w:val="0"/>
          <w:caps w:val="0"/>
          <w:color w:val="000000"/>
          <w:spacing w:val="0"/>
          <w:kern w:val="0"/>
          <w:sz w:val="18"/>
          <w:szCs w:val="18"/>
          <w:u w:val="none"/>
          <w:bdr w:val="none" w:color="auto" w:sz="0" w:space="0"/>
          <w:shd w:val="clear" w:fill="FFFFFF"/>
          <w:lang w:val="en-US" w:eastAsia="zh-CN" w:bidi="ar"/>
        </w:rPr>
        <w:fldChar w:fldCharType="end"/>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第一条　为了坚持党的领导，加强党的建设，全面从严治党，保证党的路线方针政策和党中央重大决策部署贯彻落实，规范和强化党的问责工作，根据《中国共产党章程</w:t>
      </w:r>
      <w:bookmarkStart w:id="0" w:name="_GoBack"/>
      <w:bookmarkEnd w:id="0"/>
      <w:r>
        <w:rPr>
          <w:rFonts w:hint="eastAsia" w:ascii="宋体" w:hAnsi="宋体" w:eastAsia="宋体" w:cs="宋体"/>
          <w:i w:val="0"/>
          <w:iCs w:val="0"/>
          <w:caps w:val="0"/>
          <w:color w:val="333333"/>
          <w:spacing w:val="0"/>
          <w:sz w:val="28"/>
          <w:szCs w:val="28"/>
          <w:bdr w:val="none" w:color="auto" w:sz="0" w:space="0"/>
          <w:shd w:val="clear" w:fill="FFFFFF"/>
        </w:rPr>
        <w:t>》，制定本条例。</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第二条　党的问责工作坚持以马克思列宁主义、毛泽东思想、邓小平理论、“三个代表”重要思想、科学发展观、习近平新时代中国特色社会主义思想为指导，增强“四个意识”，坚定“四个自信”，坚决维护习近平总书记党中央的核心、全党的核心地位，坚决维护党中央权威和集中统一领导，围绕统筹推进“五位一体”总体布局和协调推进“四个全面”战略布局，落实管党治党政治责任，督促各级党组织、党的领导干部负责守责尽责，践行忠诚干净担当。</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第三条　党的问责工作应当坚持以下原则：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（一）依规依纪、实事求是；</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（二）失责必问、问责必严；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（三）权责一致、错责相当；</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（四）严管和厚爱结合、激励和约束并重；</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（五）惩前毖后、治病救人；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（六）集体决定、分清责任。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第四条　党委（党组）应当履行全面从严治党主体责任，加强对本地区本部门本单位问责工作的领导，追究在党的建设、党的事业中失职失责党组织和党的领导干部的主体责任、监督责任、领导责任。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纪委应当履行监督专责，协助同级党委开展问责工作。纪委派驻（派出）机构按照职责权限开展问责工作。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党的工作机关应当依据职能履行监督职责，实施本机关本系统本领域的问责工作。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第五条　问责对象是党组织、党的领导干部，重点是党委（党组）、党的工作机关及其领导成员，纪委、纪委派驻（派出）机构及其领导成员。</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第六条　问责应当分清责任。党组织领导班子在职责范围内负有全面领导责任，领导班子主要负责人和直接主管的班子成员在职责范围内承担主要领导责任，参与决策和工作的班子成员在职责范围内承担重要领导责任。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对党组织问责的，应当同时对该党组织中负有责任的领导班子成员进行问责。</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党组织和党的领导干部应当坚持把自己摆进去、把职责摆进去、把工作摆进去，注重从自身找问题、查原因，勇于担当、敢于负责，不得向下级党组织和干部推卸责任。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第七条　党组织、党的领导干部违反党章和其他党内法规，不履行或者不正确履行职责，有下列情形之一，应当予以问责：</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一）党的领导弱化，“四个意识”不强，“两个维护”不力，党的基本理论、基本路线、基本方略没有得到有效贯彻执行，在贯彻新发展理念，推进经济建设、政治建设、文化建设、社会建设、生态文明建设中，出现重大偏差和失误，给党的事业和人民利益造成严重损失，产生恶劣影响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二）党的政治建设抓得不实，在重大原则问题上未能同党中央保持一致，贯彻落实党的路线方针政策和执行党中央重大决策部署不力，不遵守重大事项请示报告制度，有令不行、有禁不止，阳奉阴违、欺上瞒下，团团伙伙、拉帮结派问题突出，党内政治生活不严肃不健康，党的政治建设工作责任制落实不到位，造成严重后果或者恶劣影响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（三）党的思想建设缺失，党性教育特别是理想信念宗旨教育流于形式，意识形态工作责任制落实不到位，造成严重后果或者恶劣影响的；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四）党的组织建设薄弱，党建工作责任制不落实，严重违反民主集中制原则，不执行领导班子议事决策规则，民主生活会、“三会一课”等党的组织生活制度不执行，领导干部报告个人有关事项制度执行不力，党组织软弱涣散，违规选拔任用干部等问题突出，造成恶劣影响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五）党的作风建设松懈，落实中央八项规定及其实施细则精神不力，“四风”问题得不到有效整治，形式主义、官僚主义问题突出，执行党中央决策部署表态多调门高、行动少落实差，脱离实际、脱离群众，拖沓敷衍、推诿扯皮，造成严重后果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（六）党的纪律建设抓得不严，维护党的政治纪律、组织纪律、廉洁纪律、群众纪律、工作纪律、生活纪律不力，导致违规违纪行为多发，造成恶劣影响的；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七）推进党风廉政建设和反腐败斗争不坚决、不扎实，削减存量、遏制增量不力，特别是对不收敛、不收手，问题线索反映集中、群众反映强烈，政治问题和经济问题交织的腐败案件放任不管，造成恶劣影响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八）全面从严治党主体责任、监督责任落实不到位，对公权力的监督制约不力，好人主义盛行，不负责不担当，党内监督乏力，该发现的问题没有发现，发现问题不报告不处置，领导巡视巡察工作不力，落实巡视巡察整改要求走过场、不到位，该问责不问责，造成严重后果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（九）履行管理、监督职责不力，职责范围内发生重特大生产安全事故、群体性事件、公共安全事件，或者发生其他严重事故、事件，造成重大损失或者恶劣影响的；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十）在教育医疗、生态环境保护、食品药品安全、扶贫脱贫、社会保障等涉及人民群众最关心最直接最现实的利益问题上不作为、乱作为、慢作为、假作为，损害和侵占群众利益问题得不到整治，以言代法、以权压法、徇私枉法问题突出，群众身边腐败和作风问题严重，造成恶劣影响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（十一）其他应当问责的失职失责情形。</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第八条　对党组织的问责，根据危害程度以及具体情况，可以采取以下方式：</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（一）检查。责令作出书面检查并切实整改。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（二）通报。责令整改，并在一定范围内通报。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（三）改组。对失职失责，严重违犯党的纪律、本身又不能纠正的，应当予以改组。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对党的领导干部的问责，根据危害程度以及具体情况，可以采取以下方式：</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（一）通报。进行严肃批评，责令作出书面检查、切实整改，并在一定范围内通报。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（二）诫勉。以谈话或者书面方式进行诫勉。</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（三）组织调整或者组织处理。对失职失责、危害较重，不适宜担任现职的，应当根据情况采取停职检查、调整职务、责令辞职、免职、降职等措施。</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（四）纪律处分。对失职失责、危害严重，应当给予纪律处分的，依照《中国共产党纪律处分条例》追究纪律责任。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上述问责方式，可以单独使用，也可以依据规定合并使用。问责方式有影响期的，按照有关规定执行。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第九条　发现有本条例第七条所列问责情形，需要进行问责调查的，有管理权限的党委（党组）、纪委、党的工作机关应当经主要负责人审批，及时启动问责调查程序。其中，纪委、党的工作机关对同级党委直接领导的党组织及其主要负责人启动问责调查，应当报同级党委主要负责人批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应当启动问责调查未及时启动的，上级党组织应当责令有管理权限的党组织启动。根据问题性质或者工作需要，上级党组织可以直接启动问责调查，也可以指定其他党组织启动。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对被立案审查的党组织、党的领导干部问责的，不再另行启动问责调查程序。</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第十条　启动问责调查后，应当组成调查组，依规依纪依法开展调查，查明党组织、党的领导干部失职失责问题，综合考虑主客观因素，正确区分贯彻执行党中央或者上级决策部署过程中出现的执行不当、执行不力、不执行等不同情况，精准提出处理意见，做到事实清楚、证据确凿、依据充分、责任分明、程序合规、处理恰当，防止问责不力或者问责泛化、简单化。</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第十一条　查明调查对象失职失责问题后，调查组应当撰写事实材料，与调查对象见面，听取其陈述和申辩，并记录在案；对合理意见，应当予以采纳。调查对象应当在事实材料上签署意见，对签署不同意见或者拒不签署意见的，调查组应当作出说明或者注明情况。</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　　调查工作结束后，调查组应当集体讨论，形成调查报告，列明调查对象基本情况、调查依据、调查过程，问责事实，调查对象的态度、认识及其申辩，处理意见以及依据，由调查组组长以及有关人员签名后，履行审批手续。</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第十二条　问责决定应当由有管理权限的党组织作出。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对同级党委直接领导的党组织，纪委和党的工作机关报经同级党委或者其主要负责人批准，可以采取检查、通报方式进行问责。采取改组方式问责的，按照党章和有关党内法规规定的权限、程序执行。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对同级党委管理的领导干部，纪委和党的工作机关报经同级党委或者其主要负责人批准，可以采取通报、诫勉方式进行问责；提出组织调整或者组织处理的建议。采取纪律处分方式问责的，按照党章和有关党内法规规定的权限、程序执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第十三条　问责决定作出后，应当及时向被问责党组织、被问责领导干部及其所在党组织宣布并督促执行。有关问责情况应当向纪委和组织部门通报，纪委应当将问责决定材料归入被问责领导干部廉政档案，组织部门应当将问责决定材料归入被问责领导干部的人事档案，并报上一级组织部门备案；涉及组织调整或者组织处理的，相应手续应当在1个月内办理完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　　被问责领导干部应当向作出问责决定的党组织写出书面检讨，并在民主生活会、组织生活会或者党的其他会议上作出深刻检查。建立健全问责典型问题通报曝光制度，采取组织调整或者组织处理、纪律处分方式问责的，应当以适当方式公开。</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第十四条　被问责党组织、被问责领导干部及其所在党组织应当深刻汲取教训，明确整改措施。作出问责决定的党组织应当加强督促检查，推动以案促改。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第十五条　需要对问责对象作出政务处分或者其他处理的，作出问责决定的党组织应当通报相关单位，相关单位应当及时处理并将结果通报或者报告作出问责决定的党组织。</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第十六条　实行终身问责，对失职失责性质恶劣、后果严重的，不论其责任人是否调离转岗、提拔或者退休等，都应当严肃问责。</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第十七条　有下列情形之一的，可以不予问责或者免予问责：</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（一）在推进改革中因缺乏经验、先行先试出现的失误，尚无明确限制的探索性试验中的失误，为推动发展的无意过失；</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（二）在集体决策中对错误决策提出明确反对意见或者保留意见的；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（三）在决策实施中已经履职尽责，但因不可抗力、难以预见等因素造成损失的。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对上级错误决定提出改正或者撤销意见未被采纳，而出现本条例第七条所列问责情形的，依照前款规定处理。上级错误决定明显违法违规的，应当承担相应的责任。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第十八条　有下列情形之一，可以从轻或者减轻问责：</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（一）及时采取补救措施，有效挽回损失或者消除不良影响的；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（二）积极配合问责调查工作，主动承担责任的；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（三）党内法规规定的其他从轻、减轻情形。</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第十九条　有下列情形之一，应当从重或者加重问责：</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（一）对党中央、上级党组织三令五申的指示要求，不执行或者执行不力的；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（二）在接受问责调查和处理中，不如实报告情况，敷衍塞责、推卸责任，或者唆使、默许有关部门和人员弄虚作假，阻扰问责工作的；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（三）党内法规规定的其他从重、加重情形。</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第二十条　问责对象对问责决定不服的，可以自收到问责决定之日起1个月内，向作出问责决定的党组织提出书面申诉。作出问责决定的党组织接到书面申诉后，应当在1个月内作出申诉处理决定，并以书面形式告知提出申诉的党组织、领导干部及其所在党组织。</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申诉期间，不停止问责决定的执行。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第二十一条　问责决定作出后，发现问责事实认定不清楚、证据不确凿、依据不充分、责任不清晰、程序不合规、处理不恰当，或者存在其他不应当问责、不精准问责情况的，应当及时予以纠正。必要时，上级党组织可以直接纠正或者责令作出问责决定的党组织予以纠正。</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党组织、党的领导干部滥用问责，或者在问责工作中严重不负责任，造成不良影响的，应当严肃追究责任。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第二十二条　正确对待被问责干部，对影响期满、表现好的干部，符合条件的，按照干部选拔任用有关规定正常使用。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第二十三条　本条例所涉及的审批权限均指最低审批权限，工作中根据需要可以按照更高层级的审批权限报批。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第二十四条　纪委派驻（派出）机构除执行本条例外，还应当执行党中央以及中央纪委相关规定。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第二十五条　中央军事委员会可以根据本条例制定相关规定。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第二十六条　本条例由中央纪律检查委员会负责解释。</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第二十七条　本条例自2019年9月1日起施行。2016年7月8日中共中央印发的《中国共产党问责条例》同时废止。此前发布的有关问责的规定，凡与本条例不一致的，按照本条例执行。</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U4ODk3OGI0NTJjZmNjYzJmZjZmMjg4M2UxODIwMjYifQ=="/>
  </w:docVars>
  <w:rsids>
    <w:rsidRoot w:val="6B4A08F4"/>
    <w:rsid w:val="4F043F19"/>
    <w:rsid w:val="6B4A08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Hyperlink"/>
    <w:basedOn w:val="6"/>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2023-12-05T01:10:00Z</dcterms:created>
  <dc:creator>Administrator</dc:creator>
  <cp:lastModifiedBy>Administrator</cp:lastModifiedBy>
  <dcterms:modified xsi:type="dcterms:W3CDTF">2023-12-05T01:17:42Z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EB89151D197B42F195A66D6C780D2DEF_11</vt:lpwstr>
  </property>
</Properties>
</file>