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Theme="majorEastAsia" w:hAnsiTheme="majorEastAsia" w:eastAsiaTheme="majorEastAsia" w:cstheme="majorEastAsia"/>
          <w:b/>
          <w:bCs/>
          <w:color w:val="333333"/>
          <w:sz w:val="30"/>
          <w:szCs w:val="30"/>
        </w:rPr>
      </w:pPr>
      <w:r>
        <w:rPr>
          <w:rFonts w:hint="eastAsia" w:asciiTheme="majorEastAsia" w:hAnsiTheme="majorEastAsia" w:eastAsiaTheme="majorEastAsia" w:cstheme="majorEastAsia"/>
          <w:b/>
          <w:bCs/>
          <w:i w:val="0"/>
          <w:iCs w:val="0"/>
          <w:caps w:val="0"/>
          <w:color w:val="333333"/>
          <w:spacing w:val="0"/>
          <w:sz w:val="30"/>
          <w:szCs w:val="30"/>
          <w:shd w:val="clear" w:fill="FFFFFF"/>
        </w:rPr>
        <w:t>习近平在中共中央政治局第五次集体学习时强调 加快建设教育强国 为中华民族伟大复兴提供有力支撑</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t>来源：</w: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instrText xml:space="preserve"> HYPERLINK "https://www.12371.cn/" \t "https://www.12371.cn/2023/05/31/_blank" </w:instrTex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shd w:val="clear" w:fill="FFFFFF"/>
        </w:rPr>
        <w:t>共产党员网</w: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t xml:space="preserve">    2023年5月29日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"https://www.12371.cn/2023/05/31/ARTI1685489258281634.shtml"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中共中央政治局5月29日下午就建设教育强国进行第五次集体学习。中共中央总书记习近平在主持学习时强调，</w:t>
      </w:r>
      <w:bookmarkStart w:id="0" w:name="_GoBack"/>
      <w:bookmarkEnd w:id="0"/>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清华大学党委书记、中国科学院院士邱勇就这个问题进行讲解，提出工作建议。中央政治局的同志认真听取了讲解，并进行了讨论。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z w:val="28"/>
          <w:szCs w:val="28"/>
        </w:rPr>
      </w:pPr>
    </w:p>
    <w:sectPr>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33EA0696"/>
    <w:rsid w:val="33EA0696"/>
    <w:rsid w:val="7197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2023-06-20T05:11:00Z</dcterms:created>
  <dc:creator>Administrator</dc:creator>
  <cp:lastModifiedBy>Administrator</cp:lastModifiedBy>
  <cp:lastPrinted>2023-06-20T06:24:37Z</cp:lastPrinted>
  <dcterms:modified xsi:type="dcterms:W3CDTF">2023-06-20T06:30:49Z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6FBFD2E82004493F85FF6F6EC5AFD449_11</vt:lpwstr>
  </property>
</Properties>
</file>