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西北农林科技大学“学风建设主题月”整改清单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（盖章）　</w:t>
            </w:r>
            <w:r>
              <w:rPr>
                <w:rFonts w:ascii="楷体" w:hAnsi="楷体" w:eastAsia="楷体"/>
                <w:b/>
                <w:sz w:val="28"/>
              </w:rPr>
              <w:t>　　　　　　　　</w:t>
            </w: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本周学工干部听课共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门次，其中，副书记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门次，学工秘书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门次，辅导员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门次，班主任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门次。全院共发现迟到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人，旷课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bookmarkStart w:id="0" w:name="_GoBack"/>
            <w:bookmarkEnd w:id="0"/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备注：请各学院每周五17:00前将本</w:t>
      </w:r>
      <w:r>
        <w:rPr>
          <w:rFonts w:ascii="楷体" w:hAnsi="楷体" w:eastAsia="楷体"/>
          <w:sz w:val="24"/>
        </w:rPr>
        <w:t>清单与</w:t>
      </w:r>
      <w:r>
        <w:rPr>
          <w:rFonts w:hint="eastAsia" w:ascii="楷体" w:hAnsi="楷体" w:eastAsia="楷体"/>
          <w:sz w:val="24"/>
        </w:rPr>
        <w:t>听课记录单报送至</w:t>
      </w:r>
      <w:r>
        <w:rPr>
          <w:rFonts w:hint="eastAsia" w:ascii="楷体" w:hAnsi="楷体" w:eastAsia="楷体"/>
          <w:sz w:val="24"/>
          <w:lang w:eastAsia="zh-CN"/>
        </w:rPr>
        <w:t>思想政治教育</w:t>
      </w:r>
      <w:r>
        <w:rPr>
          <w:rFonts w:hint="eastAsia" w:ascii="楷体" w:hAnsi="楷体" w:eastAsia="楷体"/>
          <w:sz w:val="24"/>
        </w:rPr>
        <w:t>科。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EBDBD7-5ED9-42EB-AC28-083DE0004E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B84006-A992-4CE6-8D9E-27A2D5E5C6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B9D6447-9C61-4142-8BF1-6091816547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292712C5"/>
    <w:rsid w:val="43B636C2"/>
    <w:rsid w:val="5BF83672"/>
    <w:rsid w:val="6CD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qFormat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qFormat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qFormat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214</Characters>
  <Lines>1</Lines>
  <Paragraphs>1</Paragraphs>
  <TotalTime>17</TotalTime>
  <ScaleCrop>false</ScaleCrop>
  <LinksUpToDate>false</LinksUpToDate>
  <CharactersWithSpaces>250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szk</cp:lastModifiedBy>
  <cp:lastPrinted>2021-10-21T03:47:40Z</cp:lastPrinted>
  <dcterms:modified xsi:type="dcterms:W3CDTF">2021-10-21T06:36:14Z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683F239C8BC64452A2C5CD56EC4A47C0</vt:lpwstr>
  </property>
</Properties>
</file>